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7" w14:textId="77777777" w:rsidR="00C920DF" w:rsidRDefault="00EE25CD">
      <w:pPr>
        <w:shd w:val="clear" w:color="auto" w:fill="FFFFFF"/>
        <w:spacing w:before="120"/>
        <w:jc w:val="both"/>
        <w:rPr>
          <w:b/>
          <w:color w:val="050505"/>
          <w:sz w:val="23"/>
          <w:szCs w:val="23"/>
        </w:rPr>
      </w:pPr>
      <w:r>
        <w:rPr>
          <w:b/>
          <w:color w:val="050505"/>
          <w:sz w:val="23"/>
          <w:szCs w:val="23"/>
        </w:rPr>
        <w:t>Documento di indirizzo per le attività degli assegni di ricerca da svolgersi all’interno del processo di pianificazione strategica della Città Metropolitana di Bari</w:t>
      </w:r>
    </w:p>
    <w:p w14:paraId="00000008" w14:textId="77777777" w:rsidR="00C920DF" w:rsidRDefault="00EE25CD">
      <w:pPr>
        <w:shd w:val="clear" w:color="auto" w:fill="FFFFFF"/>
        <w:spacing w:before="120"/>
        <w:jc w:val="both"/>
        <w:rPr>
          <w:b/>
          <w:color w:val="050505"/>
          <w:sz w:val="23"/>
          <w:szCs w:val="23"/>
        </w:rPr>
      </w:pPr>
      <w:r>
        <w:rPr>
          <w:b/>
          <w:color w:val="050505"/>
          <w:sz w:val="23"/>
          <w:szCs w:val="23"/>
        </w:rPr>
        <w:t xml:space="preserve"> </w:t>
      </w:r>
    </w:p>
    <w:p w14:paraId="00000009" w14:textId="0CF2971A" w:rsidR="00C920DF" w:rsidRDefault="00EE25CD">
      <w:pPr>
        <w:shd w:val="clear" w:color="auto" w:fill="FFFFFF"/>
        <w:spacing w:before="120"/>
        <w:jc w:val="both"/>
        <w:rPr>
          <w:color w:val="050505"/>
          <w:sz w:val="23"/>
          <w:szCs w:val="23"/>
        </w:rPr>
      </w:pPr>
      <w:r>
        <w:rPr>
          <w:color w:val="050505"/>
          <w:sz w:val="23"/>
          <w:szCs w:val="23"/>
        </w:rPr>
        <w:t>A partire dalla sua costituzion</w:t>
      </w:r>
      <w:r w:rsidR="00EF4337">
        <w:rPr>
          <w:color w:val="050505"/>
          <w:sz w:val="23"/>
          <w:szCs w:val="23"/>
        </w:rPr>
        <w:t>e,</w:t>
      </w:r>
      <w:r>
        <w:rPr>
          <w:color w:val="050505"/>
          <w:sz w:val="23"/>
          <w:szCs w:val="23"/>
        </w:rPr>
        <w:t xml:space="preserve"> nel 2015, la Città Metropolitana di Bari ha sviluppato accordi sovralocali e ristrutturato i suoi modelli di governance puntando a una prospettiva di rinnovamento istituzionale e metodologico del governo di area vasta. Il </w:t>
      </w:r>
      <w:r>
        <w:rPr>
          <w:b/>
          <w:color w:val="050505"/>
          <w:sz w:val="23"/>
          <w:szCs w:val="23"/>
        </w:rPr>
        <w:t xml:space="preserve">Piano Strategico Metropolitano </w:t>
      </w:r>
      <w:r>
        <w:rPr>
          <w:color w:val="050505"/>
          <w:sz w:val="23"/>
          <w:szCs w:val="23"/>
        </w:rPr>
        <w:t xml:space="preserve">(PSM) prevede di superare il tradizionale modus operandi della pianificazione strategica, e nasce a valle di una prima fase progettuale in corso di realizzazione secondo una metodologia innovativa, la quale non può prevedere un processo puramente lineare (dall’ascolto dei bisogni alla formulazione dei progetti), ma al contrario prevede un approccio ricorsivo, in cui gli attori del processo sono costantemente parte integrante. </w:t>
      </w:r>
    </w:p>
    <w:p w14:paraId="0000000A" w14:textId="77777777" w:rsidR="00C920DF" w:rsidRDefault="00EE25CD">
      <w:pPr>
        <w:shd w:val="clear" w:color="auto" w:fill="FFFFFF"/>
        <w:spacing w:before="120"/>
        <w:jc w:val="both"/>
        <w:rPr>
          <w:color w:val="050505"/>
          <w:sz w:val="23"/>
          <w:szCs w:val="23"/>
        </w:rPr>
      </w:pPr>
      <w:r>
        <w:rPr>
          <w:color w:val="050505"/>
          <w:sz w:val="23"/>
          <w:szCs w:val="23"/>
        </w:rPr>
        <w:t xml:space="preserve">A tal fine la Città Metropolitana di Bari ha elaborato una strategia multilivello, partendo dagli assi prioritari, definiti come Obiettivi di Sviluppo e Direttrici Strategiche, individuando, sulla base di questi, </w:t>
      </w:r>
      <w:r>
        <w:rPr>
          <w:b/>
          <w:color w:val="050505"/>
          <w:sz w:val="23"/>
          <w:szCs w:val="23"/>
        </w:rPr>
        <w:t>11 Azioni Strategiche</w:t>
      </w:r>
      <w:r>
        <w:rPr>
          <w:color w:val="050505"/>
          <w:sz w:val="23"/>
          <w:szCs w:val="23"/>
        </w:rPr>
        <w:t xml:space="preserve"> e si è dotata di un </w:t>
      </w:r>
      <w:r>
        <w:rPr>
          <w:i/>
          <w:color w:val="050505"/>
          <w:sz w:val="23"/>
          <w:szCs w:val="23"/>
        </w:rPr>
        <w:t>Regolamento per la Partecipazione Individuale e Collettiva</w:t>
      </w:r>
      <w:r>
        <w:rPr>
          <w:color w:val="050505"/>
          <w:sz w:val="23"/>
          <w:szCs w:val="23"/>
        </w:rPr>
        <w:t xml:space="preserve">, per garantire una partecipazione integrata alla vita e allo sviluppo della comunità metropolitana. Il processo partecipativo, nel suo insieme, è definito </w:t>
      </w:r>
      <w:r>
        <w:rPr>
          <w:b/>
          <w:color w:val="050505"/>
          <w:sz w:val="23"/>
          <w:szCs w:val="23"/>
        </w:rPr>
        <w:t>BARI20&gt;30</w:t>
      </w:r>
      <w:r>
        <w:rPr>
          <w:color w:val="050505"/>
          <w:sz w:val="23"/>
          <w:szCs w:val="23"/>
        </w:rPr>
        <w:t>.</w:t>
      </w:r>
    </w:p>
    <w:p w14:paraId="0000000B" w14:textId="77777777" w:rsidR="00C920DF" w:rsidRDefault="00EE25CD">
      <w:pPr>
        <w:shd w:val="clear" w:color="auto" w:fill="FFFFFF"/>
        <w:spacing w:before="120"/>
        <w:jc w:val="both"/>
        <w:rPr>
          <w:color w:val="050505"/>
          <w:sz w:val="23"/>
          <w:szCs w:val="23"/>
        </w:rPr>
      </w:pPr>
      <w:r>
        <w:rPr>
          <w:color w:val="050505"/>
          <w:sz w:val="23"/>
          <w:szCs w:val="23"/>
        </w:rPr>
        <w:t xml:space="preserve">In particolare, nel processo di scrittura del Piano Strategico Metropolitano, un ruolo fondamentale è riservato al </w:t>
      </w:r>
      <w:r>
        <w:rPr>
          <w:b/>
          <w:color w:val="050505"/>
          <w:sz w:val="23"/>
          <w:szCs w:val="23"/>
        </w:rPr>
        <w:t>Tavolo dei talenti e della Nuove Generazioni</w:t>
      </w:r>
      <w:r>
        <w:rPr>
          <w:color w:val="050505"/>
          <w:sz w:val="23"/>
          <w:szCs w:val="23"/>
        </w:rPr>
        <w:t xml:space="preserve">, aperto alla partecipazione di giovani cittadini della Città Metropolitana di Bari, che dovrà essere in grado di rappresentare associazioni, scuole, istanze, temi, progetti e visioni da parte dei cittadini con lo sguardo maggiormente proiettato al futuro. La Città Metropolitana di Bari intende sviluppare i lavori per la scrittura di un </w:t>
      </w:r>
      <w:r>
        <w:rPr>
          <w:b/>
          <w:color w:val="050505"/>
          <w:sz w:val="23"/>
          <w:szCs w:val="23"/>
        </w:rPr>
        <w:t>Documento Programmatico</w:t>
      </w:r>
      <w:r>
        <w:rPr>
          <w:color w:val="050505"/>
          <w:sz w:val="23"/>
          <w:szCs w:val="23"/>
        </w:rPr>
        <w:t xml:space="preserve"> necessario alla redazione del PSM, mettendo al centro proprio i Giovani Talenti, riconoscendone il ruolo attivo nella elaborazione del Piano, allargando il Tavolo previsto dal Regolamento per la Partecipazione Individuale e Collettiva, anche a </w:t>
      </w:r>
      <w:r>
        <w:rPr>
          <w:b/>
          <w:color w:val="050505"/>
          <w:sz w:val="23"/>
          <w:szCs w:val="23"/>
        </w:rPr>
        <w:t xml:space="preserve">professionisti, ricercatori e attivisti </w:t>
      </w:r>
      <w:r>
        <w:rPr>
          <w:color w:val="050505"/>
          <w:sz w:val="23"/>
          <w:szCs w:val="23"/>
        </w:rPr>
        <w:t>con particolari competenze nei settori interrogati dalle undici Azioni Strategiche da cui partire per la redazione del piano.</w:t>
      </w:r>
    </w:p>
    <w:p w14:paraId="0000000C" w14:textId="519B8574" w:rsidR="00C920DF" w:rsidRDefault="00EE25CD">
      <w:pPr>
        <w:shd w:val="clear" w:color="auto" w:fill="FFFFFF"/>
        <w:spacing w:before="120"/>
        <w:jc w:val="both"/>
        <w:rPr>
          <w:color w:val="050505"/>
          <w:sz w:val="23"/>
          <w:szCs w:val="23"/>
        </w:rPr>
      </w:pPr>
      <w:r>
        <w:rPr>
          <w:color w:val="050505"/>
          <w:sz w:val="23"/>
          <w:szCs w:val="23"/>
        </w:rPr>
        <w:t xml:space="preserve">L’obiettivo è permettere a Giovani Esperti di poter condividere la loro conoscenza e il loro </w:t>
      </w:r>
      <w:r>
        <w:rPr>
          <w:i/>
          <w:color w:val="050505"/>
          <w:sz w:val="23"/>
          <w:szCs w:val="23"/>
        </w:rPr>
        <w:t xml:space="preserve">know </w:t>
      </w:r>
      <w:proofErr w:type="spellStart"/>
      <w:r>
        <w:rPr>
          <w:i/>
          <w:color w:val="050505"/>
          <w:sz w:val="23"/>
          <w:szCs w:val="23"/>
        </w:rPr>
        <w:t>how</w:t>
      </w:r>
      <w:proofErr w:type="spellEnd"/>
      <w:r>
        <w:rPr>
          <w:color w:val="050505"/>
          <w:sz w:val="23"/>
          <w:szCs w:val="23"/>
        </w:rPr>
        <w:t xml:space="preserve"> con i più “Giovani Talenti” per poter disegnare un Piano Strategico Metropolitano condiviso nel principio della ottimizzazione dei processi interni di condivisione e gestione della conoscenza.</w:t>
      </w:r>
    </w:p>
    <w:p w14:paraId="0000000D" w14:textId="77777777" w:rsidR="00C920DF" w:rsidRDefault="00C920DF">
      <w:pPr>
        <w:shd w:val="clear" w:color="auto" w:fill="FFFFFF"/>
        <w:spacing w:before="120"/>
        <w:jc w:val="both"/>
        <w:rPr>
          <w:color w:val="050505"/>
          <w:sz w:val="23"/>
          <w:szCs w:val="23"/>
        </w:rPr>
      </w:pPr>
    </w:p>
    <w:p w14:paraId="0000000E" w14:textId="77777777" w:rsidR="00C920DF" w:rsidRDefault="00C920DF">
      <w:pPr>
        <w:shd w:val="clear" w:color="auto" w:fill="FFFFFF"/>
        <w:spacing w:before="120"/>
        <w:jc w:val="both"/>
        <w:rPr>
          <w:color w:val="050505"/>
          <w:sz w:val="23"/>
          <w:szCs w:val="23"/>
        </w:rPr>
      </w:pPr>
    </w:p>
    <w:p w14:paraId="0000000F" w14:textId="77777777" w:rsidR="00C920DF" w:rsidRDefault="00EE25CD">
      <w:pPr>
        <w:shd w:val="clear" w:color="auto" w:fill="FFFFFF"/>
        <w:spacing w:before="120"/>
        <w:jc w:val="both"/>
      </w:pPr>
      <w:r>
        <w:rPr>
          <w:color w:val="050505"/>
          <w:sz w:val="23"/>
          <w:szCs w:val="23"/>
        </w:rPr>
        <w:t xml:space="preserve">A questo scopo sono stati ideati i bandi per il conferimento di 12 assegni di ricerca (7 per il Politecnico di Bari e 5 per l’Università degli Studi di Bari) destinati a giovani professionisti e ricercatori per il ruolo di </w:t>
      </w:r>
      <w:r>
        <w:rPr>
          <w:b/>
          <w:color w:val="050505"/>
          <w:sz w:val="23"/>
          <w:szCs w:val="23"/>
        </w:rPr>
        <w:t>Tutor del Tavolo dei Talenti</w:t>
      </w:r>
      <w:r>
        <w:rPr>
          <w:color w:val="050505"/>
          <w:sz w:val="23"/>
          <w:szCs w:val="23"/>
        </w:rPr>
        <w:t xml:space="preserve"> il cui compito sarà quello di </w:t>
      </w:r>
      <w:r>
        <w:rPr>
          <w:b/>
          <w:color w:val="050505"/>
          <w:sz w:val="23"/>
          <w:szCs w:val="23"/>
        </w:rPr>
        <w:t>contribuire, attraverso un’attività di studio e di ricerca, alla redazione del Piano Strategico Metropolitano 2020-2030, e in particolare al processo di partecipazione BARI20&gt;</w:t>
      </w:r>
      <w:proofErr w:type="gramStart"/>
      <w:r>
        <w:rPr>
          <w:b/>
          <w:color w:val="050505"/>
          <w:sz w:val="23"/>
          <w:szCs w:val="23"/>
        </w:rPr>
        <w:t xml:space="preserve">30 </w:t>
      </w:r>
      <w:r>
        <w:rPr>
          <w:color w:val="050505"/>
          <w:sz w:val="23"/>
          <w:szCs w:val="23"/>
        </w:rPr>
        <w:t>.</w:t>
      </w:r>
      <w:proofErr w:type="gramEnd"/>
      <w:r>
        <w:rPr>
          <w:color w:val="050505"/>
          <w:sz w:val="23"/>
          <w:szCs w:val="23"/>
        </w:rPr>
        <w:t xml:space="preserve"> </w:t>
      </w:r>
      <w:r>
        <w:t xml:space="preserve">Gli incarichi sono formalizzati come assegni di ricerca </w:t>
      </w:r>
      <w:r>
        <w:rPr>
          <w:color w:val="050505"/>
          <w:sz w:val="23"/>
          <w:szCs w:val="23"/>
        </w:rPr>
        <w:t>secondo quanto previsto dall’ordinamento dei due atenei</w:t>
      </w:r>
      <w:r>
        <w:t xml:space="preserve">, dando seguito al </w:t>
      </w:r>
      <w:r>
        <w:rPr>
          <w:color w:val="050505"/>
          <w:sz w:val="23"/>
          <w:szCs w:val="23"/>
        </w:rPr>
        <w:t xml:space="preserve">protocollo d’intesa che la Città </w:t>
      </w:r>
      <w:r>
        <w:rPr>
          <w:color w:val="050505"/>
          <w:sz w:val="23"/>
          <w:szCs w:val="23"/>
        </w:rPr>
        <w:lastRenderedPageBreak/>
        <w:t>Metropolitana ha siglato con i due atenei baresi al fine di avvalersi del contributo di Istituzioni accademiche,</w:t>
      </w:r>
      <w:r>
        <w:t xml:space="preserve"> intendendo la formazione culturale e professionale dei giovani quale volano per uno sviluppo sociale, economico e culturale dell’intero territorio. Gli incarichi corrispondono agli 11 Ambiti Strategici previsti dal Piano con l’aggiunta di un ulteriore ambito trasversale dedicato alla Governance, e sono definiti da altrettanti Profili Professionali, i cui requisiti professionali e di esperienza sono contenuti nei rispettivi avvisi pubblici. </w:t>
      </w:r>
    </w:p>
    <w:p w14:paraId="00000010" w14:textId="77777777" w:rsidR="00C920DF" w:rsidRDefault="00C920DF">
      <w:pPr>
        <w:shd w:val="clear" w:color="auto" w:fill="FFFFFF"/>
        <w:spacing w:before="120"/>
        <w:jc w:val="both"/>
      </w:pPr>
    </w:p>
    <w:p w14:paraId="00000011" w14:textId="77777777" w:rsidR="00C920DF" w:rsidRDefault="00EE25CD">
      <w:pPr>
        <w:jc w:val="both"/>
      </w:pPr>
      <w:r>
        <w:t xml:space="preserve">I Tutor </w:t>
      </w:r>
      <w:r>
        <w:rPr>
          <w:color w:val="050505"/>
          <w:sz w:val="23"/>
          <w:szCs w:val="23"/>
        </w:rPr>
        <w:t xml:space="preserve">comporranno un gruppo di lavoro trasversale a </w:t>
      </w:r>
      <w:r>
        <w:t xml:space="preserve">supporto dello staff della Pianificazione Strategica, che lavorerà con sede </w:t>
      </w:r>
      <w:r>
        <w:rPr>
          <w:color w:val="050505"/>
          <w:sz w:val="23"/>
          <w:szCs w:val="23"/>
        </w:rPr>
        <w:t>prevalente presso la Città Metropolitana e sul territorio metropolitano. Le attività di lavoro principali consisteranno nell’</w:t>
      </w:r>
      <w:r>
        <w:rPr>
          <w:b/>
        </w:rPr>
        <w:t>animazione del Tavolo dei Talenti e delle Giovani Generazioni</w:t>
      </w:r>
      <w:r>
        <w:t xml:space="preserve"> e nella </w:t>
      </w:r>
      <w:r>
        <w:rPr>
          <w:b/>
        </w:rPr>
        <w:t>redazione degli output finali rappresentati da 12 documenti di posizione</w:t>
      </w:r>
      <w:r>
        <w:t xml:space="preserve"> in vista dell’estensione definitiva del Piano Strategico.</w:t>
      </w:r>
    </w:p>
    <w:p w14:paraId="00000012" w14:textId="77777777" w:rsidR="00C920DF" w:rsidRDefault="00EE25CD">
      <w:pPr>
        <w:jc w:val="both"/>
      </w:pPr>
      <w:r>
        <w:t xml:space="preserve">I Tutor contribuiranno: </w:t>
      </w:r>
    </w:p>
    <w:p w14:paraId="00000013" w14:textId="77777777" w:rsidR="00C920DF" w:rsidRDefault="00EE25CD">
      <w:pPr>
        <w:numPr>
          <w:ilvl w:val="0"/>
          <w:numId w:val="1"/>
        </w:numPr>
        <w:jc w:val="both"/>
      </w:pPr>
      <w:r>
        <w:t>alla produzione di un position paper relativo al rispettivo Ambito Strategico;</w:t>
      </w:r>
    </w:p>
    <w:p w14:paraId="00000014" w14:textId="77777777" w:rsidR="00C920DF" w:rsidRDefault="00EE25CD">
      <w:pPr>
        <w:numPr>
          <w:ilvl w:val="0"/>
          <w:numId w:val="1"/>
        </w:numPr>
        <w:jc w:val="both"/>
      </w:pPr>
      <w:r>
        <w:t>al coinvolgimento del Tavolo Giovani del relativo al rispettivo Ambito Strategico, mediante incontri dal vivo/online di disseminazione e confronto in itinere;</w:t>
      </w:r>
    </w:p>
    <w:p w14:paraId="00000015" w14:textId="77777777" w:rsidR="00C920DF" w:rsidRDefault="00EE25CD">
      <w:pPr>
        <w:numPr>
          <w:ilvl w:val="0"/>
          <w:numId w:val="1"/>
        </w:numPr>
        <w:jc w:val="both"/>
      </w:pPr>
      <w:r>
        <w:t>alla gestione del blog sul relativo Ambito Strategico sul forum online, tramite release programmate del lavoro in fase di svolgimento, al fine di rendere aperta la consultazione e accogliere commenti e suggerimenti dagli altri organi previsti nel modello di governance metropolitano;</w:t>
      </w:r>
    </w:p>
    <w:p w14:paraId="00000016" w14:textId="77777777" w:rsidR="00C920DF" w:rsidRDefault="00EE25CD">
      <w:pPr>
        <w:numPr>
          <w:ilvl w:val="0"/>
          <w:numId w:val="1"/>
        </w:numPr>
        <w:jc w:val="both"/>
      </w:pPr>
      <w:r>
        <w:t>all’interfaccia con lo Staff di Pianificazione Strategica per il coordinamento e l’integrazione delle attività tra tutti i gruppi di lavoro.</w:t>
      </w:r>
    </w:p>
    <w:p w14:paraId="00000017" w14:textId="77777777" w:rsidR="00C920DF" w:rsidRDefault="00C920DF">
      <w:pPr>
        <w:jc w:val="both"/>
      </w:pPr>
    </w:p>
    <w:p w14:paraId="00000018" w14:textId="77777777" w:rsidR="00C920DF" w:rsidRDefault="00EE25CD">
      <w:pPr>
        <w:jc w:val="both"/>
      </w:pPr>
      <w:r>
        <w:t>Di seguito sono elencati i dettagli relativi ai processi selettivi in corso presso i due atenei. Si invita a consultare con attenzione tutti i documenti messi a disposizione sui rispettivi portali.</w:t>
      </w:r>
    </w:p>
    <w:p w14:paraId="00000019" w14:textId="77777777" w:rsidR="00C920DF" w:rsidRDefault="00C920DF">
      <w:pPr>
        <w:jc w:val="both"/>
      </w:pPr>
    </w:p>
    <w:p w14:paraId="0000001A" w14:textId="77777777" w:rsidR="00C920DF" w:rsidRDefault="00EE25CD">
      <w:pPr>
        <w:jc w:val="both"/>
        <w:rPr>
          <w:b/>
        </w:rPr>
      </w:pPr>
      <w:r>
        <w:rPr>
          <w:b/>
        </w:rPr>
        <w:t xml:space="preserve">Università degli Studi di Bari </w:t>
      </w:r>
    </w:p>
    <w:p w14:paraId="0000001B" w14:textId="77777777" w:rsidR="00C920DF" w:rsidRDefault="00EE25CD">
      <w:pPr>
        <w:jc w:val="both"/>
      </w:pPr>
      <w:r>
        <w:t xml:space="preserve">Pagina web contenente tutti i bandi per assegni di ricerca attualmente attivi: </w:t>
      </w:r>
      <w:hyperlink r:id="rId5">
        <w:r>
          <w:rPr>
            <w:color w:val="1155CC"/>
            <w:u w:val="single"/>
          </w:rPr>
          <w:t>https://wwwapd.ict.uniba.it/Home/Bandi/assegni-ricerca/</w:t>
        </w:r>
      </w:hyperlink>
      <w:r>
        <w:t xml:space="preserve"> </w:t>
      </w:r>
    </w:p>
    <w:p w14:paraId="0000001C" w14:textId="77777777" w:rsidR="00C920DF" w:rsidRDefault="00C920DF">
      <w:pPr>
        <w:jc w:val="both"/>
        <w:rPr>
          <w:b/>
        </w:rPr>
      </w:pPr>
    </w:p>
    <w:p w14:paraId="0000001D" w14:textId="77777777" w:rsidR="00C920DF" w:rsidRDefault="00EE25CD">
      <w:pPr>
        <w:numPr>
          <w:ilvl w:val="0"/>
          <w:numId w:val="6"/>
        </w:numPr>
        <w:jc w:val="both"/>
        <w:rPr>
          <w:b/>
        </w:rPr>
      </w:pPr>
      <w:r>
        <w:rPr>
          <w:b/>
        </w:rPr>
        <w:t>Paesaggio rurale, food policy, innovazione in agricoltura</w:t>
      </w:r>
    </w:p>
    <w:p w14:paraId="0000001E" w14:textId="77777777" w:rsidR="00C920DF" w:rsidRDefault="00EE25CD">
      <w:pPr>
        <w:spacing w:line="240" w:lineRule="auto"/>
        <w:rPr>
          <w:b/>
        </w:rPr>
      </w:pPr>
      <w:r>
        <w:rPr>
          <w:rFonts w:ascii="Times New Roman" w:eastAsia="Times New Roman" w:hAnsi="Times New Roman" w:cs="Times New Roman"/>
        </w:rPr>
        <w:t>Agricoltura smart e digitale, sviluppo dell'area rurale metropolitana, valorizzazione dell’esteso patrimonio naturalistico costiero e rurale, la gestione, conservazione e uso sostenibile delle risorse naturali e la promozione di stili di vita salutari</w:t>
      </w:r>
    </w:p>
    <w:p w14:paraId="0000001F" w14:textId="77777777" w:rsidR="00C920DF" w:rsidRDefault="00EE25CD">
      <w:pPr>
        <w:ind w:left="708"/>
      </w:pPr>
      <w:r>
        <w:t xml:space="preserve">Link download bando: </w:t>
      </w:r>
      <w:hyperlink r:id="rId6">
        <w:r>
          <w:rPr>
            <w:color w:val="1155CC"/>
            <w:u w:val="single"/>
          </w:rPr>
          <w:t>https://wwwapd.ict.uniba.it/area-pers-doc/Home/Bandi/assegni-ricerca/2021-02-09-prog.07.180/bando.pdf/file/at_download</w:t>
        </w:r>
      </w:hyperlink>
      <w:r>
        <w:t xml:space="preserve"> </w:t>
      </w:r>
    </w:p>
    <w:p w14:paraId="00000020" w14:textId="77777777" w:rsidR="00C920DF" w:rsidRDefault="00C920DF">
      <w:pPr>
        <w:ind w:left="708"/>
        <w:jc w:val="both"/>
      </w:pPr>
    </w:p>
    <w:p w14:paraId="00000021" w14:textId="77777777" w:rsidR="00C920DF" w:rsidRDefault="00EE25CD">
      <w:pPr>
        <w:numPr>
          <w:ilvl w:val="0"/>
          <w:numId w:val="5"/>
        </w:numPr>
        <w:jc w:val="both"/>
        <w:rPr>
          <w:b/>
        </w:rPr>
      </w:pPr>
      <w:r>
        <w:rPr>
          <w:b/>
        </w:rPr>
        <w:t>Housing sociale e inclusione attiva</w:t>
      </w:r>
    </w:p>
    <w:p w14:paraId="00000022" w14:textId="77777777" w:rsidR="00C920DF" w:rsidRDefault="00EE25CD">
      <w:pPr>
        <w:jc w:val="both"/>
      </w:pPr>
      <w:r>
        <w:t>Messa in rete delle azioni di inclusione attiva, riqualificazione urbana degli spazi dedicati al sociale, agenzia della casa metropolitana e iniziative di co-housing sociale.</w:t>
      </w:r>
    </w:p>
    <w:p w14:paraId="00000023" w14:textId="77777777" w:rsidR="00C920DF" w:rsidRDefault="00EE25CD">
      <w:pPr>
        <w:ind w:left="708"/>
        <w:jc w:val="both"/>
      </w:pPr>
      <w:r>
        <w:t xml:space="preserve">Link download bando: </w:t>
      </w:r>
    </w:p>
    <w:p w14:paraId="00000024" w14:textId="77777777" w:rsidR="00C920DF" w:rsidRDefault="00EF4337">
      <w:pPr>
        <w:ind w:left="708"/>
        <w:jc w:val="both"/>
      </w:pPr>
      <w:hyperlink r:id="rId7">
        <w:r w:rsidR="00EE25CD">
          <w:rPr>
            <w:color w:val="1155CC"/>
            <w:u w:val="single"/>
          </w:rPr>
          <w:t>https://wwwapd.ict.uniba.it/area-pers-doc/Home/Bandi/assegni-ricerca/2021-02-09-prog.13.26/bando.pdf/file/at_download</w:t>
        </w:r>
      </w:hyperlink>
      <w:r w:rsidR="00EE25CD">
        <w:t xml:space="preserve"> </w:t>
      </w:r>
    </w:p>
    <w:p w14:paraId="00000025" w14:textId="77777777" w:rsidR="00C920DF" w:rsidRDefault="00C920DF">
      <w:pPr>
        <w:ind w:left="708"/>
        <w:jc w:val="both"/>
      </w:pPr>
    </w:p>
    <w:p w14:paraId="00000026" w14:textId="77777777" w:rsidR="00C920DF" w:rsidRDefault="00EE25CD">
      <w:pPr>
        <w:numPr>
          <w:ilvl w:val="0"/>
          <w:numId w:val="2"/>
        </w:numPr>
        <w:jc w:val="both"/>
        <w:rPr>
          <w:b/>
        </w:rPr>
      </w:pPr>
      <w:r>
        <w:rPr>
          <w:b/>
        </w:rPr>
        <w:t>Governance di Progetto</w:t>
      </w:r>
    </w:p>
    <w:p w14:paraId="00000027" w14:textId="77777777" w:rsidR="00C920DF" w:rsidRDefault="00EE25CD">
      <w:pPr>
        <w:jc w:val="both"/>
      </w:pPr>
      <w:r>
        <w:lastRenderedPageBreak/>
        <w:t>Ruolo della città metropolitana di Bari come ente di pianificazione strategica, modelli di governance multilivello e assetto organizzativo dell'ente</w:t>
      </w:r>
    </w:p>
    <w:p w14:paraId="00000028" w14:textId="77777777" w:rsidR="00C920DF" w:rsidRDefault="00EE25CD">
      <w:pPr>
        <w:ind w:left="708"/>
        <w:jc w:val="both"/>
      </w:pPr>
      <w:r>
        <w:t xml:space="preserve">Link download bando: </w:t>
      </w:r>
    </w:p>
    <w:p w14:paraId="00000029" w14:textId="77777777" w:rsidR="00C920DF" w:rsidRDefault="00EF4337">
      <w:pPr>
        <w:ind w:left="708"/>
        <w:jc w:val="both"/>
      </w:pPr>
      <w:hyperlink r:id="rId8">
        <w:r w:rsidR="00EE25CD">
          <w:rPr>
            <w:color w:val="1155CC"/>
            <w:u w:val="single"/>
          </w:rPr>
          <w:t>https://wwwapd.ict.uniba.it/area-pers-doc/Home/Bandi/assegni-ricerca/2021-02-09-prog.01.66/bando.pdf/file/at_download</w:t>
        </w:r>
      </w:hyperlink>
    </w:p>
    <w:p w14:paraId="0000002A" w14:textId="77777777" w:rsidR="00C920DF" w:rsidRDefault="00C920DF">
      <w:pPr>
        <w:jc w:val="both"/>
      </w:pPr>
    </w:p>
    <w:p w14:paraId="0000002B" w14:textId="77777777" w:rsidR="00C920DF" w:rsidRDefault="00EE25CD">
      <w:pPr>
        <w:numPr>
          <w:ilvl w:val="0"/>
          <w:numId w:val="7"/>
        </w:numPr>
        <w:jc w:val="both"/>
        <w:rPr>
          <w:b/>
        </w:rPr>
      </w:pPr>
      <w:r>
        <w:rPr>
          <w:b/>
        </w:rPr>
        <w:t>Istruzione, Ricerca, Lavoro e Innovazione Sociale</w:t>
      </w:r>
    </w:p>
    <w:p w14:paraId="0000002C" w14:textId="77777777" w:rsidR="00C920DF" w:rsidRDefault="00EE25CD">
      <w:pPr>
        <w:jc w:val="both"/>
      </w:pPr>
      <w:r>
        <w:t>Strategie e azioni per il rafforzamento del capitale umano e il miglioramento delle prospettive per i giovani, potenziamento servizi di orientamento al lavoro, sostegno all'istruzione superiore e all'imprenditoria giovanile</w:t>
      </w:r>
    </w:p>
    <w:p w14:paraId="0000002D" w14:textId="77777777" w:rsidR="00C920DF" w:rsidRDefault="00EE25CD">
      <w:pPr>
        <w:ind w:left="708"/>
        <w:jc w:val="both"/>
      </w:pPr>
      <w:r>
        <w:t xml:space="preserve">Link download bando: </w:t>
      </w:r>
    </w:p>
    <w:p w14:paraId="0000002E" w14:textId="77777777" w:rsidR="00C920DF" w:rsidRDefault="00EF4337">
      <w:pPr>
        <w:ind w:left="708"/>
        <w:jc w:val="both"/>
      </w:pPr>
      <w:hyperlink r:id="rId9">
        <w:r w:rsidR="00EE25CD">
          <w:rPr>
            <w:color w:val="1155CC"/>
            <w:u w:val="single"/>
          </w:rPr>
          <w:t>https://wwwapd.ict.uniba.it/area-pers-doc/Home/Bandi/assegni-ricerca/2021-02-09-prog.12.33/bando.pdf/file/at_download</w:t>
        </w:r>
      </w:hyperlink>
    </w:p>
    <w:p w14:paraId="0000002F" w14:textId="77777777" w:rsidR="00C920DF" w:rsidRDefault="00C920DF">
      <w:pPr>
        <w:jc w:val="both"/>
      </w:pPr>
    </w:p>
    <w:p w14:paraId="00000030" w14:textId="77777777" w:rsidR="00C920DF" w:rsidRDefault="00EE25CD">
      <w:pPr>
        <w:numPr>
          <w:ilvl w:val="0"/>
          <w:numId w:val="3"/>
        </w:numPr>
        <w:jc w:val="both"/>
        <w:rPr>
          <w:b/>
        </w:rPr>
      </w:pPr>
      <w:r>
        <w:rPr>
          <w:b/>
        </w:rPr>
        <w:t>Attrattori culturali e naturali</w:t>
      </w:r>
    </w:p>
    <w:p w14:paraId="00000031" w14:textId="77777777" w:rsidR="00C920DF" w:rsidRDefault="00EE25CD">
      <w:pPr>
        <w:jc w:val="both"/>
      </w:pPr>
      <w:r>
        <w:t xml:space="preserve">Strategie e azioni per la messa in rete dei beni culturali e/o ambientali esistenti sul territorio e il potenziamento della fruibilità per gli abitanti e dell’offerta turistica per i visitatori. </w:t>
      </w:r>
    </w:p>
    <w:p w14:paraId="00000032" w14:textId="77777777" w:rsidR="00C920DF" w:rsidRDefault="00EE25CD">
      <w:pPr>
        <w:ind w:left="708"/>
        <w:jc w:val="both"/>
      </w:pPr>
      <w:r>
        <w:t xml:space="preserve">Link download bando: </w:t>
      </w:r>
    </w:p>
    <w:p w14:paraId="00000033" w14:textId="77777777" w:rsidR="00C920DF" w:rsidRDefault="00EF4337">
      <w:pPr>
        <w:ind w:left="708"/>
        <w:jc w:val="both"/>
      </w:pPr>
      <w:hyperlink r:id="rId10">
        <w:r w:rsidR="00EE25CD">
          <w:rPr>
            <w:color w:val="1155CC"/>
            <w:u w:val="single"/>
          </w:rPr>
          <w:t>https://wwwapd.ict.uniba.it/area-pers-doc/Home/Bandi/assegni-ricerca/2021-02-09-prog.03.141/bando.pdf/file/at_download</w:t>
        </w:r>
      </w:hyperlink>
    </w:p>
    <w:p w14:paraId="00000034" w14:textId="77777777" w:rsidR="00C920DF" w:rsidRDefault="00C920DF">
      <w:pPr>
        <w:jc w:val="both"/>
      </w:pPr>
    </w:p>
    <w:p w14:paraId="00000035" w14:textId="77777777" w:rsidR="00C920DF" w:rsidRDefault="00C920DF">
      <w:pPr>
        <w:jc w:val="both"/>
      </w:pPr>
    </w:p>
    <w:p w14:paraId="00000036" w14:textId="77777777" w:rsidR="00C920DF" w:rsidRDefault="00EE25CD">
      <w:pPr>
        <w:jc w:val="both"/>
        <w:rPr>
          <w:b/>
        </w:rPr>
      </w:pPr>
      <w:r>
        <w:rPr>
          <w:b/>
        </w:rPr>
        <w:t>Politecnico di Bari</w:t>
      </w:r>
    </w:p>
    <w:p w14:paraId="00000037" w14:textId="77777777" w:rsidR="00C920DF" w:rsidRDefault="00EE25CD">
      <w:pPr>
        <w:jc w:val="both"/>
      </w:pPr>
      <w:r>
        <w:t xml:space="preserve">Pagina web contenente tutti i bandi per assegni di ricerca attualmente attivi: </w:t>
      </w:r>
      <w:hyperlink r:id="rId11">
        <w:r>
          <w:rPr>
            <w:color w:val="1155CC"/>
            <w:u w:val="single"/>
          </w:rPr>
          <w:t>http://www.poliba.it/it/node/108/</w:t>
        </w:r>
      </w:hyperlink>
    </w:p>
    <w:p w14:paraId="00000038" w14:textId="77777777" w:rsidR="00C920DF" w:rsidRDefault="00C920DF">
      <w:pPr>
        <w:jc w:val="both"/>
      </w:pPr>
    </w:p>
    <w:p w14:paraId="00000039" w14:textId="77777777" w:rsidR="00C920DF" w:rsidRDefault="00EE25CD">
      <w:pPr>
        <w:jc w:val="both"/>
      </w:pPr>
      <w:r>
        <w:t xml:space="preserve">Link download bando 7 assegni: </w:t>
      </w:r>
      <w:hyperlink r:id="rId12">
        <w:r>
          <w:rPr>
            <w:color w:val="1155CC"/>
            <w:u w:val="single"/>
          </w:rPr>
          <w:t>http://www.poliba.it/sites/default/files/aassegni/dr_109_1.pdf</w:t>
        </w:r>
      </w:hyperlink>
      <w:r>
        <w:t xml:space="preserve"> </w:t>
      </w:r>
    </w:p>
    <w:p w14:paraId="0000003A" w14:textId="77777777" w:rsidR="00C920DF" w:rsidRDefault="00C920DF">
      <w:pPr>
        <w:jc w:val="both"/>
      </w:pPr>
    </w:p>
    <w:p w14:paraId="0000003B" w14:textId="77777777" w:rsidR="00C920DF" w:rsidRDefault="00EE25CD">
      <w:pPr>
        <w:numPr>
          <w:ilvl w:val="0"/>
          <w:numId w:val="4"/>
        </w:numPr>
        <w:jc w:val="both"/>
        <w:rPr>
          <w:b/>
        </w:rPr>
      </w:pPr>
      <w:r>
        <w:rPr>
          <w:b/>
        </w:rPr>
        <w:t>Industria, Produzione e Logistica</w:t>
      </w:r>
    </w:p>
    <w:p w14:paraId="0000003C" w14:textId="77777777" w:rsidR="00C920DF" w:rsidRDefault="00EE25CD">
      <w:pPr>
        <w:ind w:left="720"/>
        <w:jc w:val="both"/>
        <w:rPr>
          <w:b/>
        </w:rPr>
      </w:pPr>
      <w:r>
        <w:t xml:space="preserve">Analisi dell’adozione del paradigma dell’open </w:t>
      </w:r>
      <w:proofErr w:type="spellStart"/>
      <w:r>
        <w:t>innovation</w:t>
      </w:r>
      <w:proofErr w:type="spellEnd"/>
      <w:r>
        <w:t xml:space="preserve"> nel contesto industriale e produttivo della Città Metropolitana di Bari</w:t>
      </w:r>
    </w:p>
    <w:p w14:paraId="0000003D" w14:textId="77777777" w:rsidR="00C920DF" w:rsidRDefault="00C920DF">
      <w:pPr>
        <w:ind w:left="720"/>
        <w:jc w:val="both"/>
      </w:pPr>
    </w:p>
    <w:p w14:paraId="0000003E" w14:textId="77777777" w:rsidR="00C920DF" w:rsidRDefault="00EE25CD">
      <w:pPr>
        <w:numPr>
          <w:ilvl w:val="0"/>
          <w:numId w:val="4"/>
        </w:numPr>
        <w:jc w:val="both"/>
        <w:rPr>
          <w:b/>
        </w:rPr>
      </w:pPr>
      <w:proofErr w:type="spellStart"/>
      <w:r>
        <w:rPr>
          <w:b/>
        </w:rPr>
        <w:t>Waterfront</w:t>
      </w:r>
      <w:proofErr w:type="spellEnd"/>
      <w:r>
        <w:rPr>
          <w:b/>
        </w:rPr>
        <w:t xml:space="preserve"> e Blue Economy</w:t>
      </w:r>
    </w:p>
    <w:p w14:paraId="0000003F" w14:textId="77777777" w:rsidR="00C920DF" w:rsidRDefault="00EE25CD">
      <w:pPr>
        <w:ind w:left="720"/>
        <w:jc w:val="both"/>
      </w:pPr>
      <w:r>
        <w:t xml:space="preserve">Modelli di sviluppo sostenibile della fascia costiera metropolitana </w:t>
      </w:r>
    </w:p>
    <w:p w14:paraId="00000040" w14:textId="77777777" w:rsidR="00C920DF" w:rsidRDefault="00C920DF">
      <w:pPr>
        <w:ind w:left="720"/>
        <w:jc w:val="both"/>
      </w:pPr>
    </w:p>
    <w:p w14:paraId="00000041" w14:textId="77777777" w:rsidR="00C920DF" w:rsidRDefault="00EE25CD">
      <w:pPr>
        <w:numPr>
          <w:ilvl w:val="0"/>
          <w:numId w:val="4"/>
        </w:numPr>
        <w:jc w:val="both"/>
        <w:rPr>
          <w:b/>
        </w:rPr>
      </w:pPr>
      <w:r>
        <w:rPr>
          <w:b/>
        </w:rPr>
        <w:t>Mobilità Sostenibile</w:t>
      </w:r>
    </w:p>
    <w:p w14:paraId="00000042" w14:textId="77777777" w:rsidR="00C920DF" w:rsidRDefault="00EE25CD">
      <w:pPr>
        <w:ind w:left="720"/>
        <w:jc w:val="both"/>
      </w:pPr>
      <w:r>
        <w:t>Definizione e specifica di servizi ICT per l’</w:t>
      </w:r>
      <w:proofErr w:type="spellStart"/>
      <w:r>
        <w:t>elettromobilità</w:t>
      </w:r>
      <w:proofErr w:type="spellEnd"/>
      <w:r>
        <w:t xml:space="preserve"> basati su tecnologie di</w:t>
      </w:r>
    </w:p>
    <w:p w14:paraId="00000043" w14:textId="77777777" w:rsidR="00C920DF" w:rsidRDefault="00EE25CD">
      <w:pPr>
        <w:ind w:left="720"/>
        <w:jc w:val="both"/>
        <w:rPr>
          <w:b/>
        </w:rPr>
      </w:pPr>
      <w:r>
        <w:t>Intelligenza Artificiale e applicazioni smart per dispositivi mobili</w:t>
      </w:r>
    </w:p>
    <w:p w14:paraId="00000044" w14:textId="77777777" w:rsidR="00C920DF" w:rsidRDefault="00C920DF">
      <w:pPr>
        <w:ind w:left="720"/>
        <w:jc w:val="both"/>
      </w:pPr>
    </w:p>
    <w:p w14:paraId="00000045" w14:textId="77777777" w:rsidR="00C920DF" w:rsidRDefault="00EE25CD">
      <w:pPr>
        <w:numPr>
          <w:ilvl w:val="0"/>
          <w:numId w:val="4"/>
        </w:numPr>
        <w:jc w:val="both"/>
      </w:pPr>
      <w:r>
        <w:rPr>
          <w:b/>
        </w:rPr>
        <w:t>Energia Sostenibile e Cambiamenti Climatici</w:t>
      </w:r>
      <w:r>
        <w:t xml:space="preserve"> </w:t>
      </w:r>
    </w:p>
    <w:p w14:paraId="00000046" w14:textId="77777777" w:rsidR="00C920DF" w:rsidRDefault="00EE25CD">
      <w:pPr>
        <w:ind w:left="720"/>
        <w:jc w:val="both"/>
      </w:pPr>
      <w:r>
        <w:t xml:space="preserve">Net Zero Energy </w:t>
      </w:r>
      <w:proofErr w:type="spellStart"/>
      <w:r>
        <w:t>Districts</w:t>
      </w:r>
      <w:proofErr w:type="spellEnd"/>
      <w:r>
        <w:t>: una visione per lo sviluppo di un’area urbana energeticamente autosufficiente attraverso l’uso delle elettro-tecnologie, riduzione del rischio idrogeologico e contrasto agli impatti dei cambiamenti climatici</w:t>
      </w:r>
    </w:p>
    <w:p w14:paraId="00000047" w14:textId="77777777" w:rsidR="00C920DF" w:rsidRDefault="00C920DF">
      <w:pPr>
        <w:ind w:left="720"/>
        <w:jc w:val="both"/>
      </w:pPr>
    </w:p>
    <w:p w14:paraId="00000048" w14:textId="77777777" w:rsidR="00C920DF" w:rsidRDefault="00EE25CD">
      <w:pPr>
        <w:numPr>
          <w:ilvl w:val="0"/>
          <w:numId w:val="4"/>
        </w:numPr>
        <w:jc w:val="both"/>
        <w:rPr>
          <w:b/>
        </w:rPr>
      </w:pPr>
      <w:r>
        <w:rPr>
          <w:b/>
        </w:rPr>
        <w:t>Rigenerazione Urbana e Sociale delle Periferie Urbane e Strategie per gli Spazi Pubblici</w:t>
      </w:r>
    </w:p>
    <w:p w14:paraId="00000049" w14:textId="77777777" w:rsidR="00C920DF" w:rsidRDefault="00EE25CD">
      <w:pPr>
        <w:ind w:left="720"/>
        <w:jc w:val="both"/>
      </w:pPr>
      <w:proofErr w:type="spellStart"/>
      <w:r>
        <w:t>Ri</w:t>
      </w:r>
      <w:proofErr w:type="spellEnd"/>
      <w:r>
        <w:t xml:space="preserve">-Significare la periferia urbana e </w:t>
      </w:r>
      <w:proofErr w:type="spellStart"/>
      <w:r>
        <w:t>RiConfigurare</w:t>
      </w:r>
      <w:proofErr w:type="spellEnd"/>
      <w:r>
        <w:t xml:space="preserve"> lo spazio pubblico</w:t>
      </w:r>
    </w:p>
    <w:p w14:paraId="0000004A" w14:textId="77777777" w:rsidR="00C920DF" w:rsidRDefault="00C920DF">
      <w:pPr>
        <w:ind w:left="720"/>
        <w:jc w:val="both"/>
      </w:pPr>
    </w:p>
    <w:p w14:paraId="0000004B" w14:textId="77777777" w:rsidR="00C920DF" w:rsidRDefault="00EE25CD">
      <w:pPr>
        <w:numPr>
          <w:ilvl w:val="0"/>
          <w:numId w:val="4"/>
        </w:numPr>
        <w:jc w:val="both"/>
      </w:pPr>
      <w:r>
        <w:rPr>
          <w:b/>
        </w:rPr>
        <w:lastRenderedPageBreak/>
        <w:t>Riqualificazione Sociale e Urbana dei Contesti Urbani Consolidati, Distretti Urbani del Commercio</w:t>
      </w:r>
      <w:r>
        <w:t xml:space="preserve"> </w:t>
      </w:r>
    </w:p>
    <w:p w14:paraId="0000004C" w14:textId="77777777" w:rsidR="00C920DF" w:rsidRDefault="00EE25CD">
      <w:pPr>
        <w:ind w:left="720"/>
        <w:jc w:val="both"/>
      </w:pPr>
      <w:r>
        <w:t>Analisi delle strategie dei distretti urbani del commercio nei contesti urbani consolidati della Città Metropolitana di Bari</w:t>
      </w:r>
    </w:p>
    <w:p w14:paraId="0000004D" w14:textId="77777777" w:rsidR="00C920DF" w:rsidRDefault="00C920DF">
      <w:pPr>
        <w:ind w:left="720"/>
        <w:jc w:val="both"/>
      </w:pPr>
    </w:p>
    <w:p w14:paraId="0000004E" w14:textId="77777777" w:rsidR="00C920DF" w:rsidRDefault="00EE25CD">
      <w:pPr>
        <w:numPr>
          <w:ilvl w:val="0"/>
          <w:numId w:val="4"/>
        </w:numPr>
        <w:jc w:val="both"/>
      </w:pPr>
      <w:r>
        <w:rPr>
          <w:b/>
        </w:rPr>
        <w:t>Agenda Digitale e Smart Cities</w:t>
      </w:r>
      <w:r>
        <w:t xml:space="preserve"> </w:t>
      </w:r>
    </w:p>
    <w:p w14:paraId="0000004F" w14:textId="77777777" w:rsidR="00C920DF" w:rsidRDefault="00EE25CD">
      <w:pPr>
        <w:ind w:left="720"/>
        <w:jc w:val="both"/>
      </w:pPr>
      <w:r>
        <w:t>Sviluppo e implementazione dell’Agenda Digitale comunale a servizio della transizione verso la Smart City</w:t>
      </w:r>
    </w:p>
    <w:p w14:paraId="00000050" w14:textId="77777777" w:rsidR="00C920DF" w:rsidRDefault="00C920DF">
      <w:pPr>
        <w:jc w:val="both"/>
      </w:pPr>
    </w:p>
    <w:p w14:paraId="00000051" w14:textId="77777777" w:rsidR="00C920DF" w:rsidRDefault="00C920DF">
      <w:pPr>
        <w:jc w:val="both"/>
      </w:pPr>
    </w:p>
    <w:sectPr w:rsidR="00C920D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7F05C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BB0670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F123B0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AD496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533520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BE224B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18F41B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5"/>
  </w:num>
  <w:num w:numId="3">
    <w:abstractNumId w:val="6"/>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0DF"/>
    <w:rsid w:val="00C920DF"/>
    <w:rsid w:val="00EE25CD"/>
    <w:rsid w:val="00EF43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899B7"/>
  <w15:docId w15:val="{270CEC1F-AB2B-B247-8865-1C4482339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apd.ict.uniba.it/area-pers-doc/Home/Bandi/assegni-ricerca/2021-02-09-prog.01.66/bando.pdf/file/at_downloa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pd.ict.uniba.it/area-pers-doc/Home/Bandi/assegni-ricerca/2021-02-09-prog.13.26/bando.pdf/file/at_download" TargetMode="External"/><Relationship Id="rId12" Type="http://schemas.openxmlformats.org/officeDocument/2006/relationships/hyperlink" Target="http://www.poliba.it/sites/default/files/aassegni/dr_109_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pd.ict.uniba.it/area-pers-doc/Home/Bandi/assegni-ricerca/2021-02-09-prog.07.180/bando.pdf/file/at_download" TargetMode="External"/><Relationship Id="rId11" Type="http://schemas.openxmlformats.org/officeDocument/2006/relationships/hyperlink" Target="http://www.poliba.it/it/node/108/" TargetMode="External"/><Relationship Id="rId5" Type="http://schemas.openxmlformats.org/officeDocument/2006/relationships/hyperlink" Target="https://wwwapd.ict.uniba.it/Home/Bandi/assegni-ricerca/" TargetMode="External"/><Relationship Id="rId10" Type="http://schemas.openxmlformats.org/officeDocument/2006/relationships/hyperlink" Target="https://wwwapd.ict.uniba.it/area-pers-doc/Home/Bandi/assegni-ricerca/2021-02-09-prog.03.141/bando.pdf/file/at_download" TargetMode="External"/><Relationship Id="rId4" Type="http://schemas.openxmlformats.org/officeDocument/2006/relationships/webSettings" Target="webSettings.xml"/><Relationship Id="rId9" Type="http://schemas.openxmlformats.org/officeDocument/2006/relationships/hyperlink" Target="https://wwwapd.ict.uniba.it/area-pers-doc/Home/Bandi/assegni-ricerca/2021-02-09-prog.12.33/bando.pdf/file/at_downloa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1427</Words>
  <Characters>8137</Characters>
  <Application>Microsoft Office Word</Application>
  <DocSecurity>4</DocSecurity>
  <Lines>67</Lines>
  <Paragraphs>19</Paragraphs>
  <ScaleCrop>false</ScaleCrop>
  <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Antonella Palermo</cp:lastModifiedBy>
  <cp:revision>2</cp:revision>
  <dcterms:created xsi:type="dcterms:W3CDTF">2021-03-03T08:58:00Z</dcterms:created>
  <dcterms:modified xsi:type="dcterms:W3CDTF">2021-03-03T08:58:00Z</dcterms:modified>
</cp:coreProperties>
</file>